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4819" w:after="0"/>
        <w:jc w:val="center"/>
        <w:rPr>
          <w:b/>
          <w:b/>
          <w:bCs/>
          <w:color w:val="000000"/>
          <w:spacing w:val="0"/>
          <w:kern w:val="0"/>
          <w:sz w:val="28"/>
          <w:szCs w:val="28"/>
          <w:lang w:val="ru-RU"/>
        </w:rPr>
      </w:pPr>
      <w:r>
        <w:rPr>
          <w:b/>
          <w:bCs/>
          <w:color w:val="000000"/>
          <w:spacing w:val="0"/>
          <w:kern w:val="0"/>
          <w:sz w:val="28"/>
          <w:szCs w:val="28"/>
          <w:lang w:val="ru-RU"/>
        </w:rPr>
        <w:fldChar w:fldCharType="begin"/>
      </w:r>
      <w:r>
        <w:rPr>
          <w:sz w:val="28"/>
          <w:spacing w:val="0"/>
          <w:b/>
          <w:kern w:val="0"/>
          <w:szCs w:val="28"/>
          <w:bCs/>
          <w:color w:val="000000"/>
          <w:lang w:val="ru-RU"/>
        </w:rPr>
        <w:instrText> DOCVARIABLE Name </w:instrText>
      </w:r>
      <w:r>
        <w:rPr>
          <w:sz w:val="28"/>
          <w:spacing w:val="0"/>
          <w:b/>
          <w:kern w:val="0"/>
          <w:szCs w:val="28"/>
          <w:bCs/>
          <w:color w:val="000000"/>
          <w:lang w:val="ru-RU"/>
        </w:rPr>
        <w:fldChar w:fldCharType="separate"/>
      </w:r>
      <w:r>
        <w:rPr>
          <w:sz w:val="28"/>
          <w:spacing w:val="0"/>
          <w:b/>
          <w:kern w:val="0"/>
          <w:szCs w:val="28"/>
          <w:bCs/>
          <w:color w:val="000000"/>
          <w:lang w:val="ru-RU"/>
        </w:rPr>
        <w:t>О предельных минимальных и максимальных 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</w:t>
      </w:r>
      <w:r>
        <w:rPr>
          <w:sz w:val="28"/>
          <w:spacing w:val="0"/>
          <w:b/>
          <w:kern w:val="0"/>
          <w:szCs w:val="28"/>
          <w:bCs/>
          <w:color w:val="000000"/>
          <w:lang w:val="ru-RU"/>
        </w:rPr>
        <w:fldChar w:fldCharType="end"/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000000"/>
          <w:spacing w:val="0"/>
          <w:kern w:val="0"/>
          <w:sz w:val="28"/>
          <w:szCs w:val="28"/>
          <w:lang w:val="ru-RU"/>
        </w:rPr>
      </w:pPr>
      <w:r>
        <w:rPr>
          <w:b/>
          <w:bCs/>
          <w:color w:val="000000"/>
          <w:spacing w:val="0"/>
          <w:kern w:val="0"/>
          <w:sz w:val="28"/>
          <w:szCs w:val="28"/>
          <w:lang w:val="ru-RU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spacing w:lineRule="auto" w:line="360"/>
        <w:ind w:left="0" w:right="-60" w:firstLine="709"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абзацем двадцать </w:t>
      </w:r>
      <w:r>
        <w:rPr>
          <w:color w:val="000000"/>
          <w:sz w:val="28"/>
          <w:szCs w:val="28"/>
        </w:rPr>
        <w:t>пятым</w:t>
      </w:r>
      <w:r>
        <w:rPr>
          <w:color w:val="000000"/>
          <w:sz w:val="28"/>
          <w:szCs w:val="28"/>
        </w:rPr>
        <w:t xml:space="preserve"> пункта </w:t>
      </w:r>
      <w:r>
        <w:rPr>
          <w:color w:val="000000"/>
          <w:sz w:val="28"/>
          <w:szCs w:val="28"/>
        </w:rPr>
        <w:t xml:space="preserve">2 статьи 24 Федерального </w:t>
      </w:r>
      <w:hyperlink r:id="rId2">
        <w:r>
          <w:rPr>
            <w:color w:val="000000"/>
            <w:sz w:val="28"/>
            <w:szCs w:val="28"/>
            <w:u w:val="none"/>
          </w:rPr>
          <w:t>закон</w:t>
        </w:r>
      </w:hyperlink>
      <w:r>
        <w:rPr>
          <w:rStyle w:val="Style14"/>
          <w:color w:val="000000"/>
          <w:sz w:val="28"/>
          <w:szCs w:val="28"/>
          <w:u w:val="none"/>
          <w:lang w:val="ru-RU"/>
        </w:rPr>
        <w:t>а</w:t>
      </w:r>
      <w:r>
        <w:rPr>
          <w:color w:val="000000"/>
          <w:sz w:val="28"/>
          <w:szCs w:val="28"/>
        </w:rPr>
        <w:t xml:space="preserve"> от 26 </w:t>
      </w:r>
      <w:r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 xml:space="preserve">2003 года № 35-ФЗ «Об электроэнергетике»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(Собрание законодательства Российской Федерации, 2003, № 13, ст. 1177;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ru-RU"/>
        </w:rPr>
        <w:t>20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ru-RU"/>
        </w:rPr>
        <w:t>13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ru-RU"/>
        </w:rPr>
        <w:t>,</w:t>
        <w:br/>
        <w:t xml:space="preserve">№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ru-RU"/>
        </w:rPr>
        <w:t>45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en-US"/>
        </w:rPr>
        <w:t>,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ru-RU"/>
        </w:rPr>
        <w:t xml:space="preserve"> ст.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ru-RU"/>
        </w:rPr>
        <w:t>5797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ru-RU"/>
        </w:rPr>
        <w:t xml:space="preserve">), </w:t>
      </w:r>
      <w:r>
        <w:rPr>
          <w:color w:val="000000"/>
          <w:sz w:val="28"/>
          <w:szCs w:val="28"/>
        </w:rPr>
        <w:t>с пунктом 62 Основ ценообразования в области регулируемых цен (тарифов) в электроэнергетике, утвержденны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</w:rPr>
        <w:t xml:space="preserve"> </w:t>
      </w:r>
      <w:hyperlink r:id="rId3">
        <w:r>
          <w:rPr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29 </w:t>
      </w:r>
      <w:r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 xml:space="preserve">2011 года № 1178 «О ценообразовании в области регулируемых цен (тарифов) в электроэнергетике»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(Собрание законодательства Российской Федерации, 2012, № 4, ст. 504; </w:t>
      </w:r>
      <w:r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>19</w:t>
      </w:r>
      <w:r>
        <w:rPr>
          <w:color w:val="000000"/>
          <w:sz w:val="28"/>
          <w:szCs w:val="28"/>
          <w:lang w:val="ru-RU"/>
        </w:rPr>
        <w:t xml:space="preserve">, № </w:t>
      </w:r>
      <w:r>
        <w:rPr>
          <w:color w:val="000000"/>
          <w:sz w:val="28"/>
          <w:szCs w:val="28"/>
          <w:lang w:val="ru-RU"/>
        </w:rPr>
        <w:t>11</w:t>
      </w:r>
      <w:r>
        <w:rPr>
          <w:color w:val="000000"/>
          <w:sz w:val="28"/>
          <w:szCs w:val="28"/>
          <w:lang w:val="ru-RU"/>
        </w:rPr>
        <w:t xml:space="preserve">, ст </w:t>
      </w:r>
      <w:r>
        <w:rPr>
          <w:color w:val="000000"/>
          <w:sz w:val="28"/>
          <w:szCs w:val="28"/>
          <w:lang w:val="ru-RU"/>
        </w:rPr>
        <w:t>1140</w:t>
      </w:r>
      <w:r>
        <w:rPr>
          <w:color w:val="000000"/>
          <w:sz w:val="28"/>
          <w:szCs w:val="28"/>
          <w:lang w:val="ru-RU"/>
        </w:rPr>
        <w:t>),</w:t>
        <w:br/>
      </w:r>
      <w:r>
        <w:rPr>
          <w:color w:val="000000"/>
          <w:sz w:val="28"/>
          <w:szCs w:val="28"/>
        </w:rPr>
        <w:t xml:space="preserve">а также на основании подпункта 5.3.21.7 </w:t>
      </w:r>
      <w:r>
        <w:rPr>
          <w:color w:val="000000"/>
          <w:sz w:val="28"/>
          <w:szCs w:val="28"/>
        </w:rPr>
        <w:t>пункта 5</w:t>
      </w:r>
      <w:r>
        <w:rPr>
          <w:color w:val="000000"/>
          <w:sz w:val="28"/>
          <w:szCs w:val="28"/>
        </w:rPr>
        <w:t xml:space="preserve"> Положения о Федеральной антимонопольной службе, утвержденного постановлением Правительства Российской Федерации от 30 </w:t>
      </w:r>
      <w:r>
        <w:rPr>
          <w:color w:val="000000"/>
          <w:sz w:val="28"/>
          <w:szCs w:val="28"/>
        </w:rPr>
        <w:t xml:space="preserve">июня </w:t>
      </w:r>
      <w:r>
        <w:rPr>
          <w:color w:val="000000"/>
          <w:sz w:val="28"/>
          <w:szCs w:val="28"/>
        </w:rPr>
        <w:t xml:space="preserve">2004 </w:t>
      </w:r>
      <w:r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 331 (Собрание законодательства Российско</w:t>
      </w:r>
      <w:r>
        <w:rPr>
          <w:color w:val="000000"/>
          <w:sz w:val="28"/>
          <w:szCs w:val="28"/>
        </w:rPr>
        <w:t xml:space="preserve">й  </w:t>
      </w:r>
      <w:r>
        <w:rPr>
          <w:color w:val="000000"/>
          <w:sz w:val="28"/>
          <w:szCs w:val="28"/>
        </w:rPr>
        <w:t xml:space="preserve">  Федерации, 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 xml:space="preserve">2004,   №     31, ст.     3259; 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 xml:space="preserve">   20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>15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>,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 xml:space="preserve">      №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>37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 xml:space="preserve">,      ст.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>5153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)</w:t>
      </w:r>
      <w:r>
        <w:rPr>
          <w:color w:val="000000"/>
          <w:sz w:val="28"/>
          <w:szCs w:val="28"/>
        </w:rPr>
        <w:t xml:space="preserve">, </w:t>
      </w:r>
    </w:p>
    <w:p>
      <w:pPr>
        <w:pStyle w:val="Normal"/>
        <w:autoSpaceDE w:val="false"/>
        <w:spacing w:lineRule="auto" w:line="36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р и к а з ы в а ю :</w:t>
      </w:r>
    </w:p>
    <w:p>
      <w:pPr>
        <w:pStyle w:val="Normal"/>
        <w:numPr>
          <w:ilvl w:val="2"/>
          <w:numId w:val="1"/>
        </w:numPr>
        <w:autoSpaceDE w:val="false"/>
        <w:spacing w:lineRule="auto" w:line="360"/>
        <w:ind w:left="0" w:right="0" w:firstLine="709"/>
        <w:jc w:val="both"/>
        <w:rPr/>
      </w:pPr>
      <w:r>
        <w:rPr>
          <w:color w:val="000000"/>
          <w:sz w:val="28"/>
          <w:szCs w:val="28"/>
        </w:rPr>
        <w:t>Установить и ввести в действие с 1 января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предельные минимальные и максимальные уровни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год, согласно </w:t>
      </w:r>
      <w:hyperlink r:id="rId4">
        <w:r>
          <w:rPr>
            <w:color w:val="000000"/>
            <w:sz w:val="28"/>
            <w:szCs w:val="28"/>
            <w:u w:val="none"/>
            <w:lang w:val="ru-RU"/>
          </w:rPr>
          <w:t>приложениям № № 1</w:t>
        </w:r>
      </w:hyperlink>
      <w:r>
        <w:rPr>
          <w:color w:val="000000"/>
          <w:sz w:val="28"/>
          <w:szCs w:val="28"/>
        </w:rPr>
        <w:t xml:space="preserve">, </w:t>
      </w:r>
      <w:hyperlink r:id="rId5">
        <w:r>
          <w:rPr>
            <w:color w:val="000000"/>
            <w:sz w:val="28"/>
            <w:szCs w:val="28"/>
            <w:u w:val="none"/>
          </w:rPr>
          <w:t>2</w:t>
        </w:r>
      </w:hyperlink>
      <w:r>
        <w:rPr>
          <w:rStyle w:val="Style14"/>
          <w:color w:val="000000"/>
          <w:sz w:val="28"/>
          <w:szCs w:val="28"/>
          <w:u w:val="none"/>
          <w:lang w:val="ru-RU"/>
        </w:rPr>
        <w:t xml:space="preserve"> к настоящему приказу.</w:t>
      </w:r>
    </w:p>
    <w:p>
      <w:pPr>
        <w:pStyle w:val="Normal"/>
        <w:autoSpaceDE w:val="false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Контроль за исполнением настоящего приказа возложить на заместителя руководителя ФАС России В.Г. Королева.</w:t>
      </w:r>
    </w:p>
    <w:p>
      <w:pPr>
        <w:pStyle w:val="Normal"/>
        <w:autoSpaceDE w:val="false"/>
        <w:spacing w:lineRule="auto" w:line="36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3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уководитель</w:t>
        <w:tab/>
        <w:tab/>
        <w:tab/>
        <w:t xml:space="preserve">                                                         </w:t>
      </w:r>
      <w:r>
        <w:rPr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Шаскольский</w:t>
      </w:r>
    </w:p>
    <w:p>
      <w:pPr>
        <w:pStyle w:val="Normal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6"/>
          <w:headerReference w:type="first" r:id="rId7"/>
          <w:footerReference w:type="default" r:id="rId8"/>
          <w:footerReference w:type="first" r:id="rId9"/>
          <w:type w:val="nextPage"/>
          <w:pgSz w:w="11906" w:h="16838"/>
          <w:pgMar w:left="1417" w:right="567" w:header="737" w:top="1296" w:footer="1134" w:bottom="1693" w:gutter="0"/>
          <w:pgNumType w:fmt="decimal"/>
          <w:formProt w:val="false"/>
          <w:titlePg/>
          <w:textDirection w:val="lrTb"/>
          <w:docGrid w:type="default" w:linePitch="312" w:charSpace="4294961151"/>
        </w:sectPr>
        <w:pStyle w:val="Normal"/>
        <w:autoSpaceDE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423" w:right="0" w:hanging="0"/>
        <w:jc w:val="left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Приложение № 1</w:t>
      </w:r>
    </w:p>
    <w:p>
      <w:pPr>
        <w:pStyle w:val="Normal"/>
        <w:ind w:left="11423" w:right="0" w:hanging="0"/>
        <w:jc w:val="left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к приказу ФАС России</w:t>
      </w:r>
    </w:p>
    <w:p>
      <w:pPr>
        <w:pStyle w:val="Normal"/>
        <w:ind w:left="11423" w:right="0" w:hanging="0"/>
        <w:jc w:val="left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от                     № </w:t>
      </w:r>
    </w:p>
    <w:p>
      <w:pPr>
        <w:pStyle w:val="Normal"/>
        <w:autoSpaceDE w:val="false"/>
        <w:ind w:left="0" w:right="0" w:firstLine="540"/>
        <w:jc w:val="right"/>
        <w:rPr>
          <w:sz w:val="16"/>
          <w:szCs w:val="16"/>
          <w:shd w:fill="auto" w:val="clear"/>
        </w:rPr>
      </w:pPr>
      <w:r>
        <w:rPr>
          <w:sz w:val="16"/>
          <w:szCs w:val="16"/>
          <w:shd w:fill="auto" w:val="clear"/>
        </w:rPr>
      </w:r>
    </w:p>
    <w:p>
      <w:pPr>
        <w:pStyle w:val="Normal"/>
        <w:autoSpaceDE w:val="false"/>
        <w:spacing w:lineRule="atLeast" w:line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  <w:szCs w:val="28"/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Предельные минимальные и максимальные уровни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</w:t>
      </w:r>
      <w:r>
        <w:rPr>
          <w:b/>
          <w:color w:val="000000"/>
          <w:sz w:val="28"/>
          <w:szCs w:val="28"/>
          <w:shd w:fill="auto" w:val="clear"/>
        </w:rPr>
        <w:t>2</w:t>
      </w:r>
      <w:r>
        <w:rPr>
          <w:b/>
          <w:color w:val="000000"/>
          <w:sz w:val="28"/>
          <w:szCs w:val="28"/>
          <w:shd w:fill="auto" w:val="clear"/>
        </w:rPr>
        <w:t xml:space="preserve"> год</w:t>
      </w:r>
    </w:p>
    <w:tbl>
      <w:tblPr>
        <w:tblW w:w="15252" w:type="dxa"/>
        <w:jc w:val="left"/>
        <w:tblInd w:w="-11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22"/>
        <w:gridCol w:w="1911"/>
        <w:gridCol w:w="1620"/>
        <w:gridCol w:w="1619"/>
        <w:gridCol w:w="1540"/>
        <w:gridCol w:w="1620"/>
        <w:gridCol w:w="1566"/>
        <w:gridCol w:w="1605"/>
        <w:gridCol w:w="1539"/>
        <w:gridCol w:w="1610"/>
      </w:tblGrid>
      <w:tr>
        <w:trPr/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№ </w:t>
            </w:r>
            <w:r>
              <w:rPr>
                <w:shd w:fill="auto" w:val="clear"/>
              </w:rPr>
              <w:t>п/п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Наименование субъекта Российской Федерации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с 01.01.202</w:t>
            </w:r>
            <w:r>
              <w:rPr>
                <w:shd w:fill="auto" w:val="clear"/>
              </w:rPr>
              <w:t>2</w:t>
            </w:r>
            <w:r>
              <w:rPr>
                <w:shd w:fill="auto" w:val="clear"/>
              </w:rPr>
              <w:t xml:space="preserve"> по 30.06.202</w:t>
            </w:r>
            <w:r>
              <w:rPr>
                <w:shd w:fill="auto" w:val="clear"/>
              </w:rPr>
              <w:t>2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с 01.07.202</w:t>
            </w:r>
            <w:r>
              <w:rPr>
                <w:shd w:fill="auto" w:val="clear"/>
              </w:rPr>
              <w:t>2</w:t>
            </w:r>
            <w:r>
              <w:rPr>
                <w:shd w:fill="auto" w:val="clear"/>
              </w:rPr>
              <w:t xml:space="preserve"> по 31.12.202</w:t>
            </w:r>
            <w:r>
              <w:rPr>
                <w:shd w:fill="auto" w:val="clear"/>
              </w:rPr>
              <w:t>2</w:t>
            </w:r>
          </w:p>
        </w:tc>
      </w:tr>
      <w:tr>
        <w:trPr/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в пределах социальной нормы потребления электрической энергии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сверх социальной нормы потребления электрической энергии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в пределах социальной нормы потребления электрической энергии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сверх социальной нормы потребления электрической энергии</w:t>
            </w:r>
          </w:p>
        </w:tc>
      </w:tr>
      <w:tr>
        <w:trPr>
          <w:trHeight w:val="1430" w:hRule="atLeast"/>
        </w:trPr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Минимальный уровень тарифа, коп./кВтч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(с НДС)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Максимальный уровень тарифа, коп./кВтч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(с НДС)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Минимальный уровень тарифа, коп./кВтч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(с НДС)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Максимальный уровень тарифа, коп./кВтч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(с НДС)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Минимальный уровень тарифа, коп./кВтч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(с НДС)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Максимальный уровень тарифа, коп./кВтч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(с НДС)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Минимальный уровень тарифа, коп./кВтч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(с НДС)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Максимальный уровень тарифа, коп./кВтч 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(с НДС)</w:t>
            </w:r>
          </w:p>
        </w:tc>
      </w:tr>
      <w:tr>
        <w:trPr>
          <w:trHeight w:val="288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8"/>
                <w:szCs w:val="18"/>
                <w:shd w:fill="auto" w:val="clear"/>
              </w:rPr>
            </w:pPr>
            <w:r>
              <w:rPr>
                <w:b/>
                <w:bCs/>
                <w:sz w:val="18"/>
                <w:szCs w:val="18"/>
                <w:shd w:fill="auto" w:val="clear"/>
              </w:rPr>
              <w:t>10</w:t>
            </w:r>
          </w:p>
        </w:tc>
      </w:tr>
      <w:tr>
        <w:trPr>
          <w:trHeight w:val="625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Забайкальский край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3</w:t>
            </w:r>
            <w:r>
              <w:rPr>
                <w:sz w:val="28"/>
                <w:szCs w:val="28"/>
                <w:shd w:fill="auto" w:val="clear"/>
                <w:lang w:val="ru-RU"/>
              </w:rPr>
              <w:t>35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 xml:space="preserve"> </w:t>
            </w:r>
            <w:r>
              <w:rPr>
                <w:sz w:val="28"/>
                <w:szCs w:val="28"/>
                <w:shd w:fill="auto" w:val="clear"/>
                <w:lang w:val="ru-RU"/>
              </w:rPr>
              <w:t>3</w:t>
            </w:r>
            <w:r>
              <w:rPr>
                <w:sz w:val="28"/>
                <w:szCs w:val="28"/>
                <w:shd w:fill="auto" w:val="clear"/>
                <w:lang w:val="ru-RU"/>
              </w:rPr>
              <w:t>36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38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39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3</w:t>
            </w:r>
            <w:r>
              <w:rPr>
                <w:sz w:val="28"/>
                <w:szCs w:val="28"/>
                <w:shd w:fill="auto" w:val="clear"/>
                <w:lang w:val="ru-RU"/>
              </w:rPr>
              <w:t>49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3</w:t>
            </w:r>
            <w:r>
              <w:rPr>
                <w:sz w:val="28"/>
                <w:szCs w:val="28"/>
                <w:shd w:fill="auto" w:val="clear"/>
                <w:lang w:val="ru-RU"/>
              </w:rPr>
              <w:t>53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439,0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6</w:t>
            </w:r>
            <w:r>
              <w:rPr>
                <w:sz w:val="28"/>
                <w:szCs w:val="28"/>
                <w:shd w:fill="auto" w:val="clear"/>
                <w:lang w:val="ru-RU"/>
              </w:rPr>
              <w:t>1,0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Красноярский край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109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2</w:t>
            </w:r>
            <w:r>
              <w:rPr>
                <w:sz w:val="28"/>
                <w:szCs w:val="28"/>
                <w:shd w:fill="auto" w:val="clear"/>
                <w:lang w:val="ru-RU"/>
              </w:rPr>
              <w:t>83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52</w:t>
            </w:r>
            <w:r>
              <w:rPr>
                <w:sz w:val="28"/>
                <w:szCs w:val="28"/>
                <w:shd w:fill="auto" w:val="clear"/>
                <w:lang w:val="ru-RU"/>
              </w:rPr>
              <w:t xml:space="preserve">,0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57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113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298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57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80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Владимирская 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485,0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494,0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580,0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591,0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510,0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519,0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591,0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shd w:fill="auto" w:val="clear"/>
                <w:lang w:val="ru-RU"/>
              </w:rPr>
              <w:t>621,0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Нижегородская 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3</w:t>
            </w:r>
            <w:r>
              <w:rPr>
                <w:sz w:val="28"/>
                <w:szCs w:val="28"/>
                <w:shd w:fill="auto" w:val="clear"/>
                <w:lang w:val="ru-RU"/>
              </w:rPr>
              <w:t>97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3</w:t>
            </w:r>
            <w:r>
              <w:rPr>
                <w:sz w:val="28"/>
                <w:szCs w:val="28"/>
                <w:shd w:fill="auto" w:val="clear"/>
                <w:lang w:val="ru-RU"/>
              </w:rPr>
              <w:t>98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6</w:t>
            </w:r>
            <w:r>
              <w:rPr>
                <w:sz w:val="28"/>
                <w:szCs w:val="28"/>
                <w:shd w:fill="auto" w:val="clear"/>
                <w:lang w:val="ru-RU"/>
              </w:rPr>
              <w:t>92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6</w:t>
            </w:r>
            <w:r>
              <w:rPr>
                <w:sz w:val="28"/>
                <w:szCs w:val="28"/>
                <w:shd w:fill="auto" w:val="clear"/>
                <w:lang w:val="ru-RU"/>
              </w:rPr>
              <w:t>97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41</w:t>
            </w:r>
            <w:r>
              <w:rPr>
                <w:sz w:val="28"/>
                <w:szCs w:val="28"/>
                <w:shd w:fill="auto" w:val="clear"/>
                <w:lang w:val="ru-RU"/>
              </w:rPr>
              <w:t>2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18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6</w:t>
            </w:r>
            <w:r>
              <w:rPr>
                <w:sz w:val="28"/>
                <w:szCs w:val="28"/>
                <w:shd w:fill="auto" w:val="clear"/>
                <w:lang w:val="ru-RU"/>
              </w:rPr>
              <w:t>97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7</w:t>
            </w:r>
            <w:r>
              <w:rPr>
                <w:sz w:val="28"/>
                <w:szCs w:val="28"/>
                <w:shd w:fill="auto" w:val="clear"/>
                <w:lang w:val="ru-RU"/>
              </w:rPr>
              <w:t>32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</w:tr>
      <w:tr>
        <w:trPr>
          <w:trHeight w:val="631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Орловская 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414,0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2</w:t>
            </w:r>
            <w:r>
              <w:rPr>
                <w:sz w:val="28"/>
                <w:szCs w:val="28"/>
                <w:shd w:fill="auto" w:val="clear"/>
                <w:lang w:val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5</w:t>
            </w:r>
            <w:r>
              <w:rPr>
                <w:sz w:val="28"/>
                <w:szCs w:val="28"/>
                <w:shd w:fill="auto" w:val="clear"/>
                <w:lang w:val="ru-RU"/>
              </w:rPr>
              <w:t>64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5</w:t>
            </w:r>
            <w:r>
              <w:rPr>
                <w:sz w:val="28"/>
                <w:szCs w:val="28"/>
                <w:shd w:fill="auto" w:val="clear"/>
                <w:lang w:val="ru-RU"/>
              </w:rPr>
              <w:t>80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36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41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564,0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609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</w:tr>
      <w:tr>
        <w:trPr>
          <w:trHeight w:val="571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Ростовская</w:t>
            </w:r>
          </w:p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область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24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25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5</w:t>
            </w:r>
            <w:r>
              <w:rPr>
                <w:sz w:val="28"/>
                <w:szCs w:val="28"/>
                <w:shd w:fill="auto" w:val="clear"/>
                <w:lang w:val="ru-RU"/>
              </w:rPr>
              <w:t>94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5</w:t>
            </w:r>
            <w:r>
              <w:rPr>
                <w:sz w:val="28"/>
                <w:szCs w:val="28"/>
                <w:shd w:fill="auto" w:val="clear"/>
                <w:lang w:val="ru-RU"/>
              </w:rPr>
              <w:t>95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39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  <w:lang w:val="ru-RU"/>
              </w:rPr>
              <w:t>47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59</w:t>
            </w:r>
            <w:r>
              <w:rPr>
                <w:sz w:val="28"/>
                <w:szCs w:val="28"/>
                <w:shd w:fill="auto" w:val="clear"/>
                <w:lang w:val="ru-RU"/>
              </w:rPr>
              <w:t>5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  <w:lang w:val="ru-RU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6</w:t>
            </w:r>
            <w:r>
              <w:rPr>
                <w:sz w:val="28"/>
                <w:szCs w:val="28"/>
                <w:shd w:fill="auto" w:val="clear"/>
                <w:lang w:val="ru-RU"/>
              </w:rPr>
              <w:t>25</w:t>
            </w:r>
            <w:r>
              <w:rPr>
                <w:sz w:val="28"/>
                <w:szCs w:val="28"/>
                <w:shd w:fill="auto" w:val="clear"/>
                <w:lang w:val="ru-RU"/>
              </w:rPr>
              <w:t>,0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1134" w:right="1134" w:header="567" w:top="1126" w:footer="0" w:bottom="567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autoSpaceDE w:val="false"/>
        <w:ind w:left="5519" w:right="0" w:hanging="0"/>
        <w:jc w:val="left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Приложение № 2</w:t>
      </w:r>
    </w:p>
    <w:p>
      <w:pPr>
        <w:pStyle w:val="Normal"/>
        <w:ind w:left="5519" w:right="0" w:hanging="0"/>
        <w:jc w:val="left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к приказу ФАС России</w:t>
      </w:r>
    </w:p>
    <w:p>
      <w:pPr>
        <w:pStyle w:val="Normal"/>
        <w:ind w:left="5519" w:right="0" w:hanging="0"/>
        <w:jc w:val="left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от ___ ________  № _____</w:t>
      </w:r>
    </w:p>
    <w:p>
      <w:pPr>
        <w:pStyle w:val="Normal"/>
        <w:autoSpaceDE w:val="false"/>
        <w:ind w:left="0" w:right="0" w:firstLine="54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autoSpaceDE w:val="false"/>
        <w:spacing w:lineRule="auto" w:line="24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  <w:szCs w:val="28"/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Предельные минимальные и максимальные уровни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</w:t>
      </w:r>
      <w:r>
        <w:rPr>
          <w:b/>
          <w:color w:val="000000"/>
          <w:sz w:val="28"/>
          <w:szCs w:val="28"/>
          <w:shd w:fill="auto" w:val="clear"/>
        </w:rPr>
        <w:t>2</w:t>
      </w:r>
      <w:r>
        <w:rPr>
          <w:b/>
          <w:color w:val="000000"/>
          <w:sz w:val="28"/>
          <w:szCs w:val="28"/>
          <w:shd w:fill="auto" w:val="clear"/>
        </w:rPr>
        <w:t xml:space="preserve"> год</w:t>
      </w:r>
    </w:p>
    <w:p>
      <w:pPr>
        <w:pStyle w:val="Normal"/>
        <w:autoSpaceDE w:val="false"/>
        <w:jc w:val="center"/>
        <w:rPr>
          <w:b/>
          <w:b/>
          <w:shd w:fill="auto" w:val="clear"/>
        </w:rPr>
      </w:pPr>
      <w:r>
        <w:rPr>
          <w:b/>
          <w:shd w:fill="auto" w:val="clear"/>
        </w:rPr>
      </w:r>
    </w:p>
    <w:tbl>
      <w:tblPr>
        <w:tblW w:w="9717" w:type="dxa"/>
        <w:jc w:val="left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44"/>
        <w:gridCol w:w="3474"/>
        <w:gridCol w:w="1431"/>
        <w:gridCol w:w="1473"/>
        <w:gridCol w:w="1420"/>
        <w:gridCol w:w="1475"/>
      </w:tblGrid>
      <w:tr>
        <w:trPr/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№ </w:t>
            </w:r>
            <w:r>
              <w:rPr>
                <w:sz w:val="22"/>
                <w:szCs w:val="22"/>
                <w:shd w:fill="auto" w:val="clear"/>
              </w:rPr>
              <w:t>п/п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Наименование субъекта Российской Федерации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с 01.01.202</w:t>
            </w:r>
            <w:r>
              <w:rPr>
                <w:sz w:val="22"/>
                <w:szCs w:val="22"/>
                <w:shd w:fill="auto" w:val="clear"/>
              </w:rPr>
              <w:t>2</w:t>
            </w:r>
            <w:r>
              <w:rPr>
                <w:sz w:val="22"/>
                <w:szCs w:val="22"/>
                <w:shd w:fill="auto" w:val="clear"/>
              </w:rPr>
              <w:t xml:space="preserve"> по 30.06.202</w:t>
            </w:r>
            <w:r>
              <w:rPr>
                <w:sz w:val="22"/>
                <w:szCs w:val="22"/>
                <w:shd w:fill="auto" w:val="clear"/>
              </w:rPr>
              <w:t>2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с 01.07.202</w:t>
            </w:r>
            <w:r>
              <w:rPr>
                <w:sz w:val="22"/>
                <w:szCs w:val="22"/>
                <w:shd w:fill="auto" w:val="clear"/>
              </w:rPr>
              <w:t>2</w:t>
            </w:r>
            <w:r>
              <w:rPr>
                <w:sz w:val="22"/>
                <w:szCs w:val="22"/>
                <w:shd w:fill="auto" w:val="clear"/>
              </w:rPr>
              <w:t xml:space="preserve"> по 31.12.202</w:t>
            </w:r>
            <w:r>
              <w:rPr>
                <w:sz w:val="22"/>
                <w:szCs w:val="22"/>
                <w:shd w:fill="auto" w:val="clear"/>
              </w:rPr>
              <w:t>2</w:t>
            </w:r>
          </w:p>
        </w:tc>
      </w:tr>
      <w:tr>
        <w:trPr/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Минимальный уровень тарифа, коп./кВтч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 </w:t>
            </w:r>
            <w:r>
              <w:rPr>
                <w:sz w:val="22"/>
                <w:szCs w:val="22"/>
                <w:shd w:fill="auto" w:val="clear"/>
              </w:rPr>
              <w:t>(с НДС)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Максимальный уровень тарифа, коп./кВтч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 </w:t>
            </w:r>
            <w:r>
              <w:rPr>
                <w:sz w:val="22"/>
                <w:szCs w:val="22"/>
                <w:shd w:fill="auto" w:val="clear"/>
              </w:rPr>
              <w:t>(с НДС)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Минимальный уровень тарифа, коп./кВтч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 </w:t>
            </w:r>
            <w:r>
              <w:rPr>
                <w:sz w:val="22"/>
                <w:szCs w:val="22"/>
                <w:shd w:fill="auto" w:val="clear"/>
              </w:rPr>
              <w:t>(с НДС)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>Максимальный уровень тарифа, коп./кВтч</w:t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sz w:val="22"/>
                <w:szCs w:val="22"/>
                <w:shd w:fill="auto" w:val="clear"/>
              </w:rPr>
            </w:pPr>
            <w:r>
              <w:rPr>
                <w:sz w:val="22"/>
                <w:szCs w:val="22"/>
                <w:shd w:fill="auto" w:val="clear"/>
              </w:rPr>
              <w:t xml:space="preserve"> </w:t>
            </w:r>
            <w:r>
              <w:rPr>
                <w:sz w:val="22"/>
                <w:szCs w:val="22"/>
                <w:shd w:fill="auto" w:val="clear"/>
              </w:rPr>
              <w:t>(с НДС)</w:t>
            </w:r>
          </w:p>
        </w:tc>
      </w:tr>
      <w:tr>
        <w:trPr>
          <w:trHeight w:val="312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6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bookmarkStart w:id="0" w:name="Par161"/>
            <w:bookmarkEnd w:id="0"/>
            <w:r>
              <w:rPr>
                <w:sz w:val="24"/>
                <w:szCs w:val="24"/>
                <w:shd w:fill="auto" w:val="clear"/>
              </w:rPr>
              <w:t>Центральный федеральный округ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Белгородская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430,</w:t>
            </w:r>
            <w:r>
              <w:rPr>
                <w:sz w:val="24"/>
                <w:szCs w:val="24"/>
                <w:shd w:fill="auto" w:val="clear"/>
                <w:lang w:val="ru-RU"/>
              </w:rPr>
              <w:t>0</w:t>
            </w:r>
            <w:r>
              <w:rPr>
                <w:sz w:val="24"/>
                <w:szCs w:val="24"/>
                <w:shd w:fill="auto" w:val="clear"/>
                <w:lang w:val="ru-RU"/>
              </w:rPr>
              <w:tab/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433,</w:t>
            </w:r>
            <w:r>
              <w:rPr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55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Брянская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417,0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31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38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Воронежская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417,0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42</w:t>
            </w: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45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47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Ивановская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489,0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497,0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513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522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Калужская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523,0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53</w:t>
            </w:r>
            <w:r>
              <w:rPr>
                <w:sz w:val="24"/>
                <w:szCs w:val="24"/>
                <w:shd w:fill="auto" w:val="clear"/>
                <w:lang w:val="ru-RU"/>
              </w:rPr>
              <w:t>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48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57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Костромская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481,0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82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98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507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Курская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1</w:t>
            </w: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16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34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37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Липецкая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398,0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40</w:t>
            </w: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423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25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9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Московская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590,0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59</w:t>
            </w:r>
            <w:r>
              <w:rPr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6</w:t>
            </w:r>
            <w:r>
              <w:rPr>
                <w:sz w:val="24"/>
                <w:szCs w:val="24"/>
                <w:shd w:fill="auto" w:val="clear"/>
                <w:lang w:val="ru-RU"/>
              </w:rPr>
              <w:t>15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6</w:t>
            </w:r>
            <w:r>
              <w:rPr>
                <w:sz w:val="24"/>
                <w:szCs w:val="24"/>
                <w:shd w:fill="auto" w:val="clear"/>
                <w:lang w:val="ru-RU"/>
              </w:rPr>
              <w:t>23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Рязанская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499,0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508,0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27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34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Смоленская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419,0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42</w:t>
            </w:r>
            <w:r>
              <w:rPr>
                <w:sz w:val="24"/>
                <w:szCs w:val="24"/>
                <w:shd w:fill="auto" w:val="clear"/>
                <w:lang w:val="ru-RU"/>
              </w:rPr>
              <w:t>6,</w:t>
            </w:r>
            <w:r>
              <w:rPr>
                <w:sz w:val="24"/>
                <w:szCs w:val="24"/>
                <w:shd w:fill="auto" w:val="clear"/>
                <w:lang w:val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45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48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Тамбовская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429,0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43</w:t>
            </w:r>
            <w:r>
              <w:rPr>
                <w:sz w:val="24"/>
                <w:szCs w:val="24"/>
                <w:shd w:fill="auto" w:val="clear"/>
                <w:lang w:val="ru-RU"/>
              </w:rPr>
              <w:t>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49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52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13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Тверская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431,0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432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40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48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14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Тульская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475,0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480,0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99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504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15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Ярославская область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397,0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399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19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16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 xml:space="preserve">город федерального значения Москва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59</w:t>
            </w:r>
            <w:r>
              <w:rPr>
                <w:sz w:val="24"/>
                <w:szCs w:val="24"/>
                <w:shd w:fill="auto" w:val="clear"/>
                <w:lang w:val="ru-RU"/>
              </w:rPr>
              <w:t>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59</w:t>
            </w:r>
            <w:r>
              <w:rPr>
                <w:sz w:val="24"/>
                <w:szCs w:val="24"/>
                <w:shd w:fill="auto" w:val="clear"/>
                <w:lang w:val="ru-RU"/>
              </w:rPr>
              <w:t>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615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628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</w:tbl>
    <w:tbl>
      <w:tblPr>
        <w:tblW w:w="9731" w:type="dxa"/>
        <w:jc w:val="left"/>
        <w:tblInd w:w="27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36"/>
        <w:gridCol w:w="3505"/>
        <w:gridCol w:w="1420"/>
        <w:gridCol w:w="1474"/>
        <w:gridCol w:w="1393"/>
        <w:gridCol w:w="1503"/>
      </w:tblGrid>
      <w:tr>
        <w:trPr>
          <w:tblHeader w:val="true"/>
          <w:trHeight w:val="265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b/>
                <w:b/>
                <w:bCs/>
                <w:sz w:val="16"/>
                <w:szCs w:val="16"/>
                <w:shd w:fill="auto" w:val="clear"/>
              </w:rPr>
            </w:pPr>
            <w:r>
              <w:rPr>
                <w:b/>
                <w:bCs/>
                <w:sz w:val="16"/>
                <w:szCs w:val="16"/>
                <w:shd w:fill="auto" w:val="clear"/>
              </w:rPr>
              <w:t>6</w:t>
            </w:r>
          </w:p>
        </w:tc>
      </w:tr>
      <w:tr>
        <w:trPr/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bookmarkStart w:id="1" w:name="Par269"/>
            <w:bookmarkEnd w:id="1"/>
            <w:r>
              <w:rPr>
                <w:shd w:fill="auto" w:val="clear"/>
              </w:rPr>
              <w:t>Северо-Западный федеральный округ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</w:rPr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</w:rPr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b/>
                <w:bCs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Карелия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382,0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38</w:t>
            </w:r>
            <w:r>
              <w:rPr>
                <w:sz w:val="24"/>
                <w:szCs w:val="24"/>
                <w:shd w:fill="auto" w:val="clear"/>
                <w:lang w:val="ru-RU"/>
              </w:rPr>
              <w:t>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402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406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Коми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50</w:t>
            </w:r>
            <w:r>
              <w:rPr>
                <w:sz w:val="24"/>
                <w:szCs w:val="24"/>
                <w:shd w:fill="auto" w:val="clear"/>
                <w:lang w:val="ru-RU"/>
              </w:rPr>
              <w:t>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08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28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34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19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Архангельская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460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36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479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63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Вологодская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505,0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51</w:t>
            </w:r>
            <w:r>
              <w:rPr>
                <w:sz w:val="24"/>
                <w:szCs w:val="24"/>
                <w:shd w:fill="auto" w:val="clear"/>
                <w:lang w:val="ru-RU"/>
              </w:rPr>
              <w:t>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28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37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Калининградская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450,0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45</w:t>
            </w:r>
            <w:r>
              <w:rPr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68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76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Ленинградская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463,0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47</w:t>
            </w:r>
            <w:r>
              <w:rPr>
                <w:sz w:val="24"/>
                <w:szCs w:val="24"/>
                <w:shd w:fill="auto" w:val="clear"/>
                <w:lang w:val="ru-RU"/>
              </w:rPr>
              <w:t>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85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94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Мурманская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291,0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297,0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310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312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Новгородская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470,0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475,0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98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99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Псковская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475,0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48</w:t>
            </w:r>
            <w:r>
              <w:rPr>
                <w:sz w:val="24"/>
                <w:szCs w:val="24"/>
                <w:shd w:fill="auto" w:val="clear"/>
                <w:lang w:val="ru-RU"/>
              </w:rPr>
              <w:t>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98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507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город федерального значения  Санкт-Петербург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49</w:t>
            </w:r>
            <w:r>
              <w:rPr>
                <w:sz w:val="24"/>
                <w:szCs w:val="24"/>
                <w:shd w:fill="auto" w:val="clear"/>
                <w:lang w:val="ru-RU"/>
              </w:rPr>
              <w:t>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498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498,0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30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Ненецкий автономный округ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56</w:t>
            </w:r>
            <w:r>
              <w:rPr>
                <w:sz w:val="24"/>
                <w:szCs w:val="24"/>
                <w:shd w:fill="auto" w:val="clear"/>
                <w:lang w:val="ru-RU"/>
              </w:rPr>
              <w:t>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562,0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83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91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bookmarkStart w:id="2" w:name="Par341"/>
            <w:bookmarkEnd w:id="2"/>
            <w:r>
              <w:rPr>
                <w:shd w:fill="auto" w:val="clear"/>
              </w:rPr>
              <w:t>Северо-Кавказский федеральный округ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Дагестан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28</w:t>
            </w:r>
            <w:r>
              <w:rPr>
                <w:sz w:val="24"/>
                <w:szCs w:val="24"/>
                <w:shd w:fill="auto" w:val="clear"/>
                <w:lang w:val="ru-RU"/>
              </w:rPr>
              <w:t>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28</w:t>
            </w:r>
            <w:r>
              <w:rPr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2</w:t>
            </w:r>
            <w:r>
              <w:rPr>
                <w:sz w:val="24"/>
                <w:szCs w:val="24"/>
                <w:shd w:fill="auto" w:val="clear"/>
                <w:lang w:val="ru-RU"/>
              </w:rPr>
              <w:t>97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300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Ингушетия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39</w:t>
            </w:r>
            <w:r>
              <w:rPr>
                <w:sz w:val="24"/>
                <w:szCs w:val="24"/>
                <w:shd w:fill="auto" w:val="clear"/>
                <w:lang w:val="ru-RU"/>
              </w:rPr>
              <w:t>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39</w:t>
            </w:r>
            <w:r>
              <w:rPr>
                <w:sz w:val="24"/>
                <w:szCs w:val="24"/>
                <w:shd w:fill="auto" w:val="clear"/>
                <w:lang w:val="ru-RU"/>
              </w:rPr>
              <w:t>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409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Кабардино-Балкарская Республика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</w:t>
            </w: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</w:t>
            </w: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35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sz w:val="24"/>
                <w:szCs w:val="24"/>
                <w:shd w:fill="auto" w:val="clear"/>
                <w:lang w:val="ru-RU"/>
              </w:rPr>
              <w:t>8,0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Карачаево- Черкесская Республика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44</w:t>
            </w:r>
            <w:r>
              <w:rPr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44</w:t>
            </w: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6</w:t>
            </w:r>
            <w:r>
              <w:rPr>
                <w:sz w:val="24"/>
                <w:szCs w:val="24"/>
                <w:shd w:fill="auto" w:val="clear"/>
                <w:lang w:val="ru-RU"/>
              </w:rPr>
              <w:t>4,0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67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Северная Осетия - Алания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44</w:t>
            </w:r>
            <w:r>
              <w:rPr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44</w:t>
            </w: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6</w:t>
            </w:r>
            <w:r>
              <w:rPr>
                <w:sz w:val="24"/>
                <w:szCs w:val="24"/>
                <w:shd w:fill="auto" w:val="clear"/>
                <w:lang w:val="ru-RU"/>
              </w:rPr>
              <w:t>4,0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67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Чеченская Республика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29</w:t>
            </w: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29</w:t>
            </w: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309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315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Ставропольский край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502,0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06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23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32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bookmarkStart w:id="3" w:name="Par389"/>
            <w:bookmarkEnd w:id="3"/>
            <w:r>
              <w:rPr>
                <w:shd w:fill="auto" w:val="clear"/>
              </w:rPr>
              <w:t>Южный федеральный округ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Республика Адыгея (Адыгея)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19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24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46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Калмыкия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524,0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53</w:t>
            </w:r>
            <w:r>
              <w:rPr>
                <w:sz w:val="24"/>
                <w:szCs w:val="24"/>
                <w:shd w:fill="auto" w:val="clear"/>
                <w:lang w:val="ru-RU"/>
              </w:rPr>
              <w:t>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50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59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Крым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395,0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440,0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80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Краснодарский край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519,0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52</w:t>
            </w: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46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51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39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Астраханская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518,0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19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36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sz w:val="24"/>
                <w:szCs w:val="24"/>
                <w:shd w:fill="auto" w:val="clear"/>
                <w:lang w:val="ru-RU"/>
              </w:rPr>
              <w:t>45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Волгоградская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468,0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47</w:t>
            </w:r>
            <w:r>
              <w:rPr>
                <w:sz w:val="24"/>
                <w:szCs w:val="24"/>
                <w:shd w:fill="auto" w:val="clear"/>
                <w:lang w:val="ru-RU"/>
              </w:rPr>
              <w:t>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8</w:t>
            </w:r>
            <w:r>
              <w:rPr>
                <w:sz w:val="24"/>
                <w:szCs w:val="24"/>
                <w:shd w:fill="auto" w:val="clear"/>
                <w:lang w:val="ru-RU"/>
              </w:rPr>
              <w:t>8,0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96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>
          <w:trHeight w:val="718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41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город федерального значения Севастополь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382,0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419,0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404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45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>
          <w:trHeight w:val="571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bookmarkStart w:id="4" w:name="Par425"/>
            <w:bookmarkEnd w:id="4"/>
            <w:r>
              <w:rPr>
                <w:shd w:fill="auto" w:val="clear"/>
              </w:rPr>
              <w:t>Приволжский федеральный округ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Башкортостан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344,0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350,0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sz w:val="24"/>
                <w:szCs w:val="24"/>
                <w:shd w:fill="auto" w:val="clear"/>
                <w:lang w:val="ru-RU"/>
              </w:rPr>
              <w:t>63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sz w:val="24"/>
                <w:szCs w:val="24"/>
                <w:shd w:fill="auto" w:val="clear"/>
                <w:lang w:val="ru-RU"/>
              </w:rPr>
              <w:t>68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Марий Эл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40</w:t>
            </w:r>
            <w:r>
              <w:rPr>
                <w:sz w:val="24"/>
                <w:szCs w:val="24"/>
                <w:shd w:fill="auto" w:val="clear"/>
                <w:lang w:val="ru-RU"/>
              </w:rPr>
              <w:t>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40</w:t>
            </w:r>
            <w:r>
              <w:rPr>
                <w:sz w:val="24"/>
                <w:szCs w:val="24"/>
                <w:shd w:fill="auto" w:val="clear"/>
                <w:lang w:val="ru-RU"/>
              </w:rPr>
              <w:t>2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14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sz w:val="24"/>
                <w:szCs w:val="24"/>
                <w:shd w:fill="auto" w:val="clear"/>
                <w:lang w:val="ru-RU"/>
              </w:rPr>
              <w:t>23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Мордовия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39</w:t>
            </w:r>
            <w:r>
              <w:rPr>
                <w:sz w:val="24"/>
                <w:szCs w:val="24"/>
                <w:shd w:fill="auto" w:val="clear"/>
                <w:lang w:val="ru-RU"/>
              </w:rPr>
              <w:t>0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39</w:t>
            </w:r>
            <w:r>
              <w:rPr>
                <w:sz w:val="24"/>
                <w:szCs w:val="24"/>
                <w:shd w:fill="auto" w:val="clear"/>
                <w:lang w:val="ru-RU"/>
              </w:rPr>
              <w:t>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404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  <w:lang w:val="ru-RU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411</w:t>
            </w:r>
            <w:r>
              <w:rPr>
                <w:sz w:val="24"/>
                <w:szCs w:val="24"/>
                <w:shd w:fill="auto" w:val="clear"/>
                <w:lang w:val="ru-RU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Татарстан (Татарстан)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410,0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41</w:t>
            </w:r>
            <w:r>
              <w:rPr>
                <w:sz w:val="24"/>
                <w:szCs w:val="24"/>
                <w:shd w:fill="auto" w:val="clear"/>
              </w:rPr>
              <w:t>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29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32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>
          <w:trHeight w:val="53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Удмуртская Республика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410,0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41</w:t>
            </w:r>
            <w:r>
              <w:rPr>
                <w:sz w:val="24"/>
                <w:szCs w:val="24"/>
                <w:shd w:fill="auto" w:val="clear"/>
              </w:rPr>
              <w:t>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26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33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>
          <w:trHeight w:val="616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Чувашская Республика - Чувашия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359,0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</w:t>
            </w:r>
            <w:r>
              <w:rPr>
                <w:sz w:val="24"/>
                <w:szCs w:val="24"/>
                <w:shd w:fill="auto" w:val="clear"/>
              </w:rPr>
              <w:t>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72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78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48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Пермский край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442,0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44</w:t>
            </w: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64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6</w:t>
            </w:r>
            <w:r>
              <w:rPr>
                <w:sz w:val="24"/>
                <w:szCs w:val="24"/>
                <w:shd w:fill="auto" w:val="clear"/>
              </w:rPr>
              <w:t>7,0</w:t>
            </w:r>
          </w:p>
        </w:tc>
      </w:tr>
      <w:tr>
        <w:trPr/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49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Кировская область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423,0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27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41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49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Оренбургская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329,0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33</w:t>
            </w:r>
            <w:r>
              <w:rPr>
                <w:sz w:val="24"/>
                <w:szCs w:val="24"/>
                <w:shd w:fill="auto" w:val="clear"/>
              </w:rPr>
              <w:t>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46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48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Пензенская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375,0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76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88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95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Самарская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44</w:t>
            </w: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46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62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69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Саратовская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380,0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38</w:t>
            </w: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401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403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Ульяновская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40</w:t>
            </w:r>
            <w:r>
              <w:rPr>
                <w:sz w:val="24"/>
                <w:szCs w:val="24"/>
                <w:shd w:fill="auto" w:val="clear"/>
              </w:rPr>
              <w:t>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03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16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24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bookmarkStart w:id="5" w:name="Par509"/>
            <w:bookmarkEnd w:id="5"/>
            <w:r>
              <w:rPr>
                <w:shd w:fill="auto" w:val="clear"/>
              </w:rPr>
              <w:t>Уральский федеральный округ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Курганская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59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36</w:t>
            </w:r>
            <w:r>
              <w:rPr>
                <w:sz w:val="24"/>
                <w:szCs w:val="24"/>
                <w:shd w:fill="auto" w:val="clear"/>
              </w:rPr>
              <w:t>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73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78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Свердловская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442,0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450,0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63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73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Тюменская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30</w:t>
            </w:r>
            <w:r>
              <w:rPr>
                <w:sz w:val="24"/>
                <w:szCs w:val="24"/>
                <w:shd w:fill="auto" w:val="clear"/>
              </w:rPr>
              <w:t>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07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17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23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Челябинская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347,0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47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58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65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59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Ханты-Мансийский автономный округ - Югра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30</w:t>
            </w:r>
            <w:r>
              <w:rPr>
                <w:sz w:val="24"/>
                <w:szCs w:val="24"/>
                <w:shd w:fill="auto" w:val="clear"/>
              </w:rPr>
              <w:t>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07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17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23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>
          <w:trHeight w:val="558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Ямало</w:t>
            </w:r>
            <w:r>
              <w:rPr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-</w:t>
            </w:r>
            <w:r>
              <w:rPr>
                <w:shd w:fill="auto" w:val="clear"/>
                <w:lang w:val="en-US"/>
              </w:rPr>
              <w:t xml:space="preserve"> </w:t>
            </w:r>
            <w:r>
              <w:rPr>
                <w:shd w:fill="auto" w:val="clear"/>
              </w:rPr>
              <w:t>Ненецкий автономный округ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30</w:t>
            </w:r>
            <w:r>
              <w:rPr>
                <w:sz w:val="24"/>
                <w:szCs w:val="24"/>
                <w:shd w:fill="auto" w:val="clear"/>
              </w:rPr>
              <w:t>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07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17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23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>
          <w:trHeight w:val="57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bookmarkStart w:id="6" w:name="Par551"/>
            <w:bookmarkEnd w:id="6"/>
            <w:r>
              <w:rPr>
                <w:shd w:fill="auto" w:val="clear"/>
              </w:rPr>
              <w:t>Сибирский федеральный округ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Алтай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55</w:t>
            </w:r>
            <w:r>
              <w:rPr>
                <w:sz w:val="24"/>
                <w:szCs w:val="24"/>
                <w:shd w:fill="auto" w:val="clear"/>
              </w:rPr>
              <w:t>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57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75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85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6</w:t>
            </w:r>
            <w:r>
              <w:rPr>
                <w:shd w:fill="auto" w:val="clear"/>
                <w:lang w:val="ru-RU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Тыва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398,0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40</w:t>
            </w:r>
            <w:r>
              <w:rPr>
                <w:sz w:val="24"/>
                <w:szCs w:val="24"/>
                <w:shd w:fill="auto" w:val="clear"/>
              </w:rPr>
              <w:t>1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416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2</w:t>
            </w:r>
            <w:r>
              <w:rPr>
                <w:sz w:val="24"/>
                <w:szCs w:val="24"/>
                <w:shd w:fill="auto" w:val="clear"/>
              </w:rPr>
              <w:t>2,0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</w:t>
            </w:r>
            <w:r>
              <w:rPr>
                <w:shd w:fill="auto" w:val="clear"/>
                <w:lang w:val="ru-RU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Хакасия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23</w:t>
            </w: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23</w:t>
            </w:r>
            <w:r>
              <w:rPr>
                <w:sz w:val="24"/>
                <w:szCs w:val="24"/>
                <w:shd w:fill="auto" w:val="clear"/>
              </w:rPr>
              <w:t>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</w:t>
            </w:r>
            <w:r>
              <w:rPr>
                <w:sz w:val="24"/>
                <w:szCs w:val="24"/>
                <w:shd w:fill="auto" w:val="clear"/>
              </w:rPr>
              <w:t>44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</w:t>
            </w:r>
            <w:r>
              <w:rPr>
                <w:sz w:val="24"/>
                <w:szCs w:val="24"/>
                <w:shd w:fill="auto" w:val="clear"/>
              </w:rPr>
              <w:t>48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Алтайский край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445,0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45</w:t>
            </w:r>
            <w:r>
              <w:rPr>
                <w:sz w:val="24"/>
                <w:szCs w:val="24"/>
                <w:shd w:fill="auto" w:val="clear"/>
              </w:rPr>
              <w:t>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67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73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Иркутская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121,0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123,0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12</w:t>
            </w:r>
            <w:r>
              <w:rPr>
                <w:sz w:val="24"/>
                <w:szCs w:val="24"/>
                <w:shd w:fill="auto" w:val="clear"/>
              </w:rPr>
              <w:t>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</w:t>
            </w:r>
            <w:r>
              <w:rPr>
                <w:sz w:val="24"/>
                <w:szCs w:val="24"/>
                <w:shd w:fill="auto" w:val="clear"/>
              </w:rPr>
              <w:t>30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66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Кемеровская область - Кузбасс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375,0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377,0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93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96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Новосибирская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29</w:t>
            </w:r>
            <w:r>
              <w:rPr>
                <w:sz w:val="24"/>
                <w:szCs w:val="24"/>
                <w:shd w:fill="auto" w:val="clear"/>
              </w:rPr>
              <w:t>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29</w:t>
            </w: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307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310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Омская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442,0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448,0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70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72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69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Томская область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379,0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385,0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404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406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bookmarkStart w:id="7" w:name="Par617"/>
            <w:bookmarkEnd w:id="7"/>
            <w:r>
              <w:rPr>
                <w:shd w:fill="auto" w:val="clear"/>
              </w:rPr>
              <w:t>Дальневосточный федеральный округ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  <w:lang w:val="ru-RU"/>
              </w:rPr>
            </w:pPr>
            <w:r>
              <w:rPr>
                <w:shd w:fill="auto" w:val="clear"/>
                <w:lang w:val="ru-RU"/>
              </w:rPr>
              <w:t>70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Бурятия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43</w:t>
            </w:r>
            <w:r>
              <w:rPr>
                <w:sz w:val="24"/>
                <w:szCs w:val="24"/>
                <w:shd w:fill="auto" w:val="clear"/>
              </w:rPr>
              <w:t>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37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54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59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7</w:t>
            </w:r>
            <w:r>
              <w:rPr>
                <w:shd w:fill="auto" w:val="clear"/>
                <w:lang w:val="ru-RU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Республика Саха (Якутия)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676,0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68</w:t>
            </w:r>
            <w:r>
              <w:rPr>
                <w:sz w:val="24"/>
                <w:szCs w:val="24"/>
                <w:shd w:fill="auto" w:val="clear"/>
              </w:rPr>
              <w:t>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</w:t>
            </w:r>
            <w:r>
              <w:rPr>
                <w:sz w:val="24"/>
                <w:szCs w:val="24"/>
                <w:shd w:fill="auto" w:val="clear"/>
              </w:rPr>
              <w:t>82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723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72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Камчатский край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693,0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694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69</w:t>
            </w: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7</w:t>
            </w:r>
            <w:r>
              <w:rPr>
                <w:sz w:val="24"/>
                <w:szCs w:val="24"/>
                <w:shd w:fill="auto" w:val="clear"/>
              </w:rPr>
              <w:t>29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Приморский край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412,0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41</w:t>
            </w:r>
            <w:r>
              <w:rPr>
                <w:sz w:val="24"/>
                <w:szCs w:val="24"/>
                <w:shd w:fill="auto" w:val="clear"/>
              </w:rPr>
              <w:t>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29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34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Хабаровский край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490,0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49</w:t>
            </w:r>
            <w:r>
              <w:rPr>
                <w:sz w:val="24"/>
                <w:szCs w:val="24"/>
                <w:shd w:fill="auto" w:val="clear"/>
              </w:rPr>
              <w:t>1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509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516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Амурская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40</w:t>
            </w: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05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20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26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>
          <w:trHeight w:val="428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Магаданская область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54</w:t>
            </w:r>
            <w:r>
              <w:rPr>
                <w:sz w:val="24"/>
                <w:szCs w:val="24"/>
                <w:shd w:fill="auto" w:val="clear"/>
              </w:rPr>
              <w:t>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54</w:t>
            </w:r>
            <w:r>
              <w:rPr>
                <w:sz w:val="24"/>
                <w:szCs w:val="24"/>
                <w:shd w:fill="auto" w:val="clear"/>
              </w:rPr>
              <w:t>1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62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69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Сахалинская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45</w:t>
            </w: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56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73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79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Еврейская автономная область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40</w:t>
            </w:r>
            <w:r>
              <w:rPr>
                <w:sz w:val="24"/>
                <w:szCs w:val="24"/>
                <w:shd w:fill="auto" w:val="clear"/>
              </w:rPr>
              <w:t>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10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26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</w:t>
            </w:r>
            <w:r>
              <w:rPr>
                <w:sz w:val="24"/>
                <w:szCs w:val="24"/>
                <w:shd w:fill="auto" w:val="clear"/>
              </w:rPr>
              <w:t>31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79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>Чукотский автономный округ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882,0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</w:t>
            </w:r>
            <w:r>
              <w:rPr>
                <w:sz w:val="24"/>
                <w:szCs w:val="24"/>
                <w:shd w:fill="auto" w:val="clear"/>
              </w:rPr>
              <w:t>8</w:t>
            </w:r>
            <w:r>
              <w:rPr>
                <w:sz w:val="24"/>
                <w:szCs w:val="24"/>
                <w:shd w:fill="auto" w:val="clear"/>
              </w:rPr>
              <w:t>1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882,0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927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</w:tr>
      <w:tr>
        <w:trPr/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80</w:t>
            </w: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город Байконур </w:t>
            </w:r>
            <w:r>
              <w:rPr>
                <w:shd w:fill="auto" w:val="clear"/>
                <w:lang w:val="en-US"/>
              </w:rPr>
              <w:t>&lt;</w:t>
            </w:r>
            <w:r>
              <w:rPr>
                <w:shd w:fill="auto" w:val="clear"/>
                <w:lang w:val="ru-RU"/>
              </w:rPr>
              <w:t>1</w:t>
            </w:r>
            <w:r>
              <w:rPr>
                <w:shd w:fill="auto" w:val="clear"/>
                <w:lang w:val="en-US"/>
              </w:rPr>
              <w:t>&gt;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499,0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499,0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19</w:t>
            </w:r>
            <w:r>
              <w:rPr>
                <w:sz w:val="24"/>
                <w:szCs w:val="24"/>
                <w:shd w:fill="auto" w:val="clear"/>
              </w:rPr>
              <w:t>,0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5</w:t>
            </w:r>
            <w:r>
              <w:rPr>
                <w:sz w:val="24"/>
                <w:szCs w:val="24"/>
                <w:shd w:fill="auto" w:val="clear"/>
              </w:rPr>
              <w:t>2</w:t>
            </w:r>
            <w:r>
              <w:rPr>
                <w:sz w:val="24"/>
                <w:szCs w:val="24"/>
                <w:shd w:fill="auto" w:val="clear"/>
              </w:rPr>
              <w:t>4,0</w:t>
            </w:r>
          </w:p>
        </w:tc>
      </w:tr>
    </w:tbl>
    <w:p>
      <w:pPr>
        <w:pStyle w:val="Normal"/>
        <w:autoSpaceDE w:val="false"/>
        <w:ind w:left="0" w:right="0" w:firstLine="709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autoSpaceDE w:val="false"/>
        <w:ind w:left="0" w:right="0" w:firstLine="709"/>
        <w:jc w:val="both"/>
        <w:rPr>
          <w:b/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  <w:t>-----------------------------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bCs/>
          <w:color w:val="000000"/>
          <w:sz w:val="28"/>
          <w:szCs w:val="28"/>
          <w:shd w:fill="auto" w:val="clear"/>
        </w:rPr>
        <w:t>&lt;</w:t>
      </w:r>
      <w:r>
        <w:rPr>
          <w:bCs/>
          <w:color w:val="000000"/>
          <w:sz w:val="28"/>
          <w:szCs w:val="28"/>
          <w:shd w:fill="auto" w:val="clear"/>
          <w:lang w:val="ru-RU"/>
        </w:rPr>
        <w:t>1</w:t>
      </w:r>
      <w:r>
        <w:rPr>
          <w:bCs/>
          <w:color w:val="000000"/>
          <w:sz w:val="28"/>
          <w:szCs w:val="28"/>
          <w:shd w:fill="auto" w:val="clear"/>
        </w:rPr>
        <w:t>&gt; На период аренды комплекса "Байконур" город Байконур в отношениях с Российской Федерацией наделяется статусом, соответствующим городу федерального значения Российской Федерации, с особым режимом безопасности функционирования объектов, предприятий и организаций, а также проживания граждан  (часть 1 статьи 1 С</w:t>
      </w:r>
      <w:hyperlink r:id="rId12">
        <w:r>
          <w:rPr>
            <w:color w:val="000000"/>
            <w:sz w:val="28"/>
            <w:szCs w:val="28"/>
            <w:u w:val="none"/>
            <w:shd w:fill="auto" w:val="clear"/>
          </w:rPr>
          <w:t>оглашени</w:t>
        </w:r>
      </w:hyperlink>
      <w:r>
        <w:rPr>
          <w:rStyle w:val="Style14"/>
          <w:color w:val="000000"/>
          <w:sz w:val="28"/>
          <w:szCs w:val="28"/>
          <w:u w:val="none"/>
          <w:shd w:fill="auto" w:val="clear"/>
          <w:lang w:val="ru-RU"/>
        </w:rPr>
        <w:t>я</w:t>
      </w:r>
      <w:r>
        <w:rPr>
          <w:bCs/>
          <w:color w:val="000000"/>
          <w:sz w:val="28"/>
          <w:szCs w:val="28"/>
          <w:shd w:fill="auto" w:val="clear"/>
        </w:rPr>
        <w:t xml:space="preserve"> между Российской Федерацией и Республикой Казахстан о статусе города Байконур, порядке формирования и статусе его органов исполнительной власти, заключенного в г. Москве 23 декабря 1995 г. (Бюллетень международных договоров, 1999, № 5, с. 56 - 67).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</w:pPr>
      <w:r>
        <w:rPr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</w:pPr>
      <w:r>
        <w:rPr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</w:pPr>
      <w:r>
        <w:rPr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</w:pPr>
      <w:r>
        <w:rPr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/>
        </w:rPr>
      </w:r>
    </w:p>
    <w:p>
      <w:pPr>
        <w:pStyle w:val="Normal"/>
        <w:jc w:val="left"/>
        <w:rPr>
          <w:b/>
          <w:b/>
          <w:bCs/>
          <w:color w:val="000000"/>
          <w:spacing w:val="0"/>
          <w:kern w:val="0"/>
          <w:sz w:val="28"/>
          <w:szCs w:val="28"/>
          <w:shd w:fill="auto" w:val="clear"/>
          <w:lang w:val="ru-RU"/>
        </w:rPr>
      </w:pPr>
      <w:r>
        <w:rPr>
          <w:b/>
          <w:bCs/>
          <w:color w:val="000000"/>
          <w:spacing w:val="0"/>
          <w:kern w:val="0"/>
          <w:sz w:val="28"/>
          <w:szCs w:val="28"/>
          <w:shd w:fill="auto" w:val="clear"/>
          <w:lang w:val="ru-RU"/>
        </w:rPr>
      </w:r>
    </w:p>
    <w:sectPr>
      <w:headerReference w:type="default" r:id="rId13"/>
      <w:footerReference w:type="default" r:id="rId14"/>
      <w:type w:val="nextPage"/>
      <w:pgSz w:w="11906" w:h="16838"/>
      <w:pgMar w:left="1134" w:right="851" w:header="567" w:top="1126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179705" distB="72390" distL="0" distR="0" simplePos="0" locked="0" layoutInCell="0" allowOverlap="1" relativeHeight="4">
              <wp:simplePos x="0" y="0"/>
              <wp:positionH relativeFrom="column">
                <wp:posOffset>5080</wp:posOffset>
              </wp:positionH>
              <wp:positionV relativeFrom="paragraph">
                <wp:posOffset>-10160</wp:posOffset>
              </wp:positionV>
              <wp:extent cx="1727835" cy="408940"/>
              <wp:effectExtent l="0" t="0" r="0" b="0"/>
              <wp:wrapSquare wrapText="bothSides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4089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spacing w:before="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DOCVARIABLE ProjectNumber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2021-129927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53975" tIns="179705" rIns="179705" bIns="539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6.05pt;height:32.2pt;mso-wrap-distance-left:5.7pt;mso-wrap-distance-right:5.7pt;mso-wrap-distance-top:14.15pt;mso-wrap-distance-bottom:5.7pt;margin-top:-0.8pt;mso-position-vertical-relative:text;margin-left:0.4pt;mso-position-horizontal-relative:text">
              <v:textbox inset="0.0590277777777778in,0.196527777777778in,0.196527777777778in,0.0590277777777778in">
                <w:txbxContent>
                  <w:p>
                    <w:pPr>
                      <w:pStyle w:val="Style23"/>
                      <w:spacing w:before="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DOCVARIABLE ProjectNumber </w:instrText>
                    </w:r>
                    <w:r>
                      <w:rPr/>
                      <w:fldChar w:fldCharType="separate"/>
                    </w:r>
                    <w:r>
                      <w:rPr/>
                      <w:t>2021-129927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20320</wp:posOffset>
          </wp:positionH>
          <wp:positionV relativeFrom="paragraph">
            <wp:posOffset>32385</wp:posOffset>
          </wp:positionV>
          <wp:extent cx="1296035" cy="280670"/>
          <wp:effectExtent l="0" t="0" r="0" b="0"/>
          <wp:wrapTopAndBottom/>
          <wp:docPr id="2" name="SpdBarcod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dBarcod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2"/>
      <w:rPr/>
    </w:pPr>
    <w:r>
      <w:rPr/>
    </w:r>
    <w:r>
      <mc:AlternateContent>
        <mc:Choice Requires="wps">
          <w:drawing>
            <wp:anchor behindDoc="0" distT="179705" distB="72390" distL="0" distR="0" simplePos="0" locked="0" layoutInCell="0" allowOverlap="1" relativeHeight="3">
              <wp:simplePos x="0" y="0"/>
              <wp:positionH relativeFrom="column">
                <wp:posOffset>5080</wp:posOffset>
              </wp:positionH>
              <wp:positionV relativeFrom="paragraph">
                <wp:posOffset>138430</wp:posOffset>
              </wp:positionV>
              <wp:extent cx="1727835" cy="40894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4089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spacing w:before="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DOCVARIABLE ProjectNumber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2021-129927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53975" tIns="179705" rIns="179705" bIns="539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36.05pt;height:32.2pt;mso-wrap-distance-left:5.7pt;mso-wrap-distance-right:5.7pt;mso-wrap-distance-top:14.15pt;mso-wrap-distance-bottom:5.7pt;margin-top:10.9pt;mso-position-vertical-relative:text;margin-left:0.4pt;mso-position-horizontal-relative:text">
              <v:textbox inset="0.0590277777777778in,0.196527777777778in,0.196527777777778in,0.0590277777777778in">
                <w:txbxContent>
                  <w:p>
                    <w:pPr>
                      <w:pStyle w:val="Style23"/>
                      <w:spacing w:before="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DOCVARIABLE ProjectNumber </w:instrText>
                    </w:r>
                    <w:r>
                      <w:rPr/>
                      <w:fldChar w:fldCharType="separate"/>
                    </w:r>
                    <w:r>
                      <w:rPr/>
                      <w:t>2021-129927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t>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docVars>
    <w:docVar w:name="ProjectNumber" w:val="2021-129927"/>
    <w:docVar w:name="Annotation" w:val="О предельных минимальных и максимальных 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"/>
    <w:docVar w:name="PredsedatelIOF" w:val="М.А. Шаскольский"/>
    <w:docVar w:name="PredsedatelDolj" w:val="Руководитель"/>
    <w:docVar w:name="Name" w:val="О предельных минимальных и максимальных 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Содержимое врезки"/>
    <w:basedOn w:val="Style17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Header"/>
    <w:basedOn w:val="Normal"/>
    <w:pPr>
      <w:suppressLineNumbers/>
      <w:tabs>
        <w:tab w:val="clear" w:pos="720"/>
        <w:tab w:val="center" w:pos="5024" w:leader="none"/>
        <w:tab w:val="right" w:pos="10049" w:leader="none"/>
      </w:tabs>
    </w:pPr>
    <w:rPr/>
  </w:style>
  <w:style w:type="paragraph" w:styleId="Style26">
    <w:name w:val="Верхний колонтитул слева"/>
    <w:basedOn w:val="Normal"/>
    <w:qFormat/>
    <w:pPr>
      <w:suppressLineNumbers/>
      <w:tabs>
        <w:tab w:val="clear" w:pos="720"/>
        <w:tab w:val="center" w:pos="5024" w:leader="none"/>
        <w:tab w:val="right" w:pos="10049" w:leader="none"/>
      </w:tabs>
    </w:pPr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8F41D441391DEAEA623895F8B00FBBD96E3A142CFCE807B05281FBC85A6A75E90980D3444c6tCL" TargetMode="External"/><Relationship Id="rId3" Type="http://schemas.openxmlformats.org/officeDocument/2006/relationships/hyperlink" Target="consultantplus://offline/ref=C8F41D441391DEAEA623895F8B00FBBD96E3A14FC4C6807B05281FBC85A6A75E90980D3443696D38c0t8L" TargetMode="External"/><Relationship Id="rId4" Type="http://schemas.openxmlformats.org/officeDocument/2006/relationships/hyperlink" Target="consultantplus://offline/ref=C8F41D441391DEAEA623895F8B00FBBD96EFAB4CCFCA807B05281FBC85A6A75E90980D3443696C39c0tAL" TargetMode="External"/><Relationship Id="rId5" Type="http://schemas.openxmlformats.org/officeDocument/2006/relationships/hyperlink" Target="consultantplus://offline/ref=C8F41D441391DEAEA623895F8B00FBBD96EFAB4CCFCA807B05281FBC85A6A75E90980D3443696D38c0t1L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yperlink" Target="consultantplus://offline/ref=6B9E31D724E0443FD12E4718CB4C1966D55ACC43CF2720A8309EA2AEi2K" TargetMode="Externa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1368</TotalTime>
  <Application>LibreOffice/7.0.3.1$Windows_X86_64 LibreOffice_project/d7547858d014d4cf69878db179d326fc3483e082</Application>
  <Pages>7</Pages>
  <Words>1202</Words>
  <Characters>7106</Characters>
  <CharactersWithSpaces>7805</CharactersWithSpaces>
  <Paragraphs>632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2020-04-16T22:05:29Z</dcterms:created>
  <dc:creator/>
  <dc:description/>
  <dc:language>ru-RU</dc:language>
  <cp:lastModifiedBy/>
  <cp:lastPrinted>2021-10-05T15:14:47Z</cp:lastPrinted>
  <dcterms:modified xsi:type="dcterms:W3CDTF">2021-10-05T15:09:08Z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ContentHash">
    <vt:lpwstr>ll5SQSNbHGCIV4fZo73Z1Q==</vt:lpwstr>
  </property>
  <property fmtid="{D5CDD505-2E9C-101B-9397-08002B2CF9AE}" pid="3" name="PreviousContentHash">
    <vt:lpwstr>Rq/JBoZ6jlXehCiXhxfwPg==</vt:lpwstr>
  </property>
</Properties>
</file>